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УЧЕБНЫЙ МАТЕРИАЛ · СИНТЕТИЧЕСКИЕ ДАННЫЕ · не относятся к реальному предприятию</w:t>
      </w:r>
    </w:p>
    <w:p>
      <w:pPr>
        <w:pStyle w:val="Title"/>
        <w:jc w:val="center"/>
      </w:pPr>
      <w:r>
        <w:t>Отчёт о результатах опытной эксплуатации системы вибромониторинга насосного оборудования</w:t>
      </w:r>
    </w:p>
    <w:p>
      <w:pPr>
        <w:jc w:val="center"/>
      </w:pPr>
      <w:r>
        <w:t>Насосная станция № 3 · период: январь–июнь 2026 · учебный синтетический отчёт для Практикума 1 (кейс 2)</w:t>
      </w:r>
    </w:p>
    <w:p>
      <w:r>
        <w:t>Подготовлен: участок эксплуатации насосного оборудования. Согласовано: служба главного механика (проект). Статус: для обсуждения.</w:t>
      </w:r>
    </w:p>
    <w:p>
      <w:pPr>
        <w:pStyle w:val="Heading1"/>
      </w:pPr>
      <w:r>
        <w:t>1. Резюме для руководства</w:t>
      </w:r>
    </w:p>
    <w:p>
      <w:r>
        <w:t>Опытная эксплуатация системы вибромониторинга проводилась на насосной станции № 3 с 1 января по 30 июня 2026 года на шести насосных агрегатах. Система показала работоспособность и позволила выявить дефекты оборудования на ранней стадии в 13 случаях.</w:t>
      </w:r>
    </w:p>
    <w:p>
      <w:r>
        <w:t>По сравнению с первым полугодием 2025 года количество внеплановых остановов снизилось с 16 до 10, а внеплановые простои сократились на 38 %. Наиболее значимый результат — предотвращение аварийного выхода из строя агрегата НА-2 в январе, ориентировочный ущерб от которого оценивался в 620 тыс. руб.</w:t>
      </w:r>
    </w:p>
    <w:p>
      <w:r>
        <w:t>Основные проблемы периода: высокая доля ложных срабатываний в первые два месяца (до 9 в месяц), отсутствие утверждённого регламента реагирования на сигналы системы и недостаточная подготовка сменного персонала. К июню число ложных срабатываний снижено до 2 в месяц.</w:t>
      </w:r>
    </w:p>
    <w:p>
      <w:r>
        <w:t>Упрощённая экономическая оценка показывает окупаемость системы в пределах одного года при принятых допущениях о стоимости часа простоя. Для перевода системы в промышленную эксплуатацию требуются решения руководства по четырём вопросам, перечисленным в разделе 9.</w:t>
      </w:r>
    </w:p>
    <w:p>
      <w:pPr>
        <w:pStyle w:val="Heading1"/>
      </w:pPr>
      <w:r>
        <w:t>2. Цели и задачи опытной эксплуатации</w:t>
      </w:r>
    </w:p>
    <w:p>
      <w:r>
        <w:t>Целью опытной эксплуатации являлась проверка применимости системы непрерывного вибромониторинга для раннего выявления дефектов насосного оборудования и оценка её влияния на количество и длительность внеплановых остановов.</w:t>
      </w:r>
    </w:p>
    <w:p>
      <w:r>
        <w:t>Задачи: 1) установить и настроить датчики на шести агрегатах; 2) определить пороговые значения по каждому агрегату; 3) организовать сбор и анализ данных в течение шести месяцев; 4) сопоставить показатели надёжности с аналогичным периодом 2025 года; 5) выявить организационные и технические проблемы; 6) подготовить предложения по промышленной эксплуатации.</w:t>
      </w:r>
    </w:p>
    <w:p>
      <w:r>
        <w:t>Опытная эксплуатация не ставила задачей оценку остаточного ресурса оборудования и не заменяла плановые регламентные проверки, которые выполнялись в установленном порядке.</w:t>
      </w:r>
    </w:p>
    <w:p>
      <w:pPr>
        <w:pStyle w:val="Heading1"/>
      </w:pPr>
      <w:r>
        <w:t>3. Объект опытной эксплуатации</w:t>
      </w:r>
    </w:p>
    <w:p>
      <w:r>
        <w:t>Насосная станция № 3 обеспечивает подачу технической воды на производственные участки. В работе постоянно находятся четыре-пять агрегатов, один-два — в резерве. Характеристики агрегатов приведены в таблице 3.1.</w:t>
      </w:r>
    </w:p>
    <w:p>
      <w:r>
        <w:t>Агрегаты НА-1 и НА-2 эксплуатируются десятый год и относятся к группе повышенного внимания. Агрегат НА-5 установлен в 2023 году и до начала опытной эксплуатации замечаний не имел.</w:t>
      </w:r>
    </w:p>
    <w:p>
      <w:r>
        <w:rPr>
          <w:b/>
        </w:rPr>
        <w:t>Таблица 3.1. Насосные агрегаты станции № 3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Агрегат</w:t>
            </w:r>
          </w:p>
        </w:tc>
        <w:tc>
          <w:tcPr>
            <w:tcW w:type="dxa" w:w="1728"/>
          </w:tcPr>
          <w:p>
            <w:r>
              <w:t>Тип</w:t>
            </w:r>
          </w:p>
        </w:tc>
        <w:tc>
          <w:tcPr>
            <w:tcW w:type="dxa" w:w="1728"/>
          </w:tcPr>
          <w:p>
            <w:r>
              <w:t>Год ввода</w:t>
            </w:r>
          </w:p>
        </w:tc>
        <w:tc>
          <w:tcPr>
            <w:tcW w:type="dxa" w:w="1728"/>
          </w:tcPr>
          <w:p>
            <w:r>
              <w:t>Мощность, кВт</w:t>
            </w:r>
          </w:p>
        </w:tc>
        <w:tc>
          <w:tcPr>
            <w:tcW w:type="dxa" w:w="1728"/>
          </w:tcPr>
          <w:p>
            <w:r>
              <w:t>Статус</w:t>
            </w:r>
          </w:p>
        </w:tc>
      </w:tr>
      <w:tr>
        <w:tc>
          <w:tcPr>
            <w:tcW w:type="dxa" w:w="1728"/>
          </w:tcPr>
          <w:p>
            <w:r>
              <w:t>НА-1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2016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НА-2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2016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НА-3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2019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2019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 / в резерве с апреля</w:t>
            </w:r>
          </w:p>
        </w:tc>
      </w:tr>
      <w:tr>
        <w:tc>
          <w:tcPr>
            <w:tcW w:type="dxa" w:w="1728"/>
          </w:tcPr>
          <w:p>
            <w:r>
              <w:t>НА-5</w:t>
            </w:r>
          </w:p>
        </w:tc>
        <w:tc>
          <w:tcPr>
            <w:tcW w:type="dxa" w:w="1728"/>
          </w:tcPr>
          <w:p>
            <w:r>
              <w:t>ЦН-110Э</w:t>
            </w:r>
          </w:p>
        </w:tc>
        <w:tc>
          <w:tcPr>
            <w:tcW w:type="dxa" w:w="1728"/>
          </w:tcPr>
          <w:p>
            <w:r>
              <w:t>2023</w:t>
            </w:r>
          </w:p>
        </w:tc>
        <w:tc>
          <w:tcPr>
            <w:tcW w:type="dxa" w:w="1728"/>
          </w:tcPr>
          <w:p>
            <w:r>
              <w:t>14.2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НА-6</w:t>
            </w:r>
          </w:p>
        </w:tc>
        <w:tc>
          <w:tcPr>
            <w:tcW w:type="dxa" w:w="1728"/>
          </w:tcPr>
          <w:p>
            <w:r>
              <w:t>НК-90М</w:t>
            </w:r>
          </w:p>
        </w:tc>
        <w:tc>
          <w:tcPr>
            <w:tcW w:type="dxa" w:w="1728"/>
          </w:tcPr>
          <w:p>
            <w:r>
              <w:t>2021</w:t>
            </w:r>
          </w:p>
        </w:tc>
        <w:tc>
          <w:tcPr>
            <w:tcW w:type="dxa" w:w="1728"/>
          </w:tcPr>
          <w:p>
            <w:r>
              <w:t>15.5</w:t>
            </w:r>
          </w:p>
        </w:tc>
        <w:tc>
          <w:tcPr>
            <w:tcW w:type="dxa" w:w="1728"/>
          </w:tcPr>
          <w:p>
            <w:r>
              <w:t>резервный</w:t>
            </w:r>
          </w:p>
        </w:tc>
      </w:tr>
    </w:tbl>
    <w:p>
      <w:pPr>
        <w:pStyle w:val="Heading1"/>
      </w:pPr>
      <w:r>
        <w:t>4. Состав системы и методика наблюдений</w:t>
      </w:r>
    </w:p>
    <w:p>
      <w:r>
        <w:t>На каждом агрегате установлены два датчика виброскорости (подшипниковые узлы насоса и двигателя) и один датчик температуры подшипника двигателя. Данные передаются на шлюз по проводной линии, далее — на сервер участка. Периодичность опроса — 1 раз в 10 секунд, хранение — 12 месяцев.</w:t>
      </w:r>
    </w:p>
    <w:p>
      <w:r>
        <w:t>Пороги предупреждения и аварии установлены индивидуально по результатам двухнедельного наблюдения базового уровня каждого агрегата. Для агрегатов НК-90 порог предупреждения по виброскорости принят 4,5 мм/с, аварийный — 7,1 мм/с; для ЦН-110Э — 3,8 и 6,3 мм/с соответственно. Пороги температуры подшипника — 70 °C (предупреждение) и 85 °C (авария).</w:t>
      </w:r>
    </w:p>
    <w:p>
      <w:r>
        <w:t>Событием считалось превышение порога длительностью более 60 секунд. Каждое событие проверялось персоналом участка; результат проверки фиксировался в журнале (приложение А). Событие признавалось ложным, если при проверке дефект не подтверждался и причиной являлась помеха, ошибка монтажа датчика или потеря связи.</w:t>
      </w:r>
    </w:p>
    <w:p>
      <w:r>
        <w:t>Для сравнения использованы данные журнала остановов за январь–июнь 2025 года. Методика подсчёта часов простоя в 2025 и 2026 годах одинакова: от момента останова до момента возврата агрегата в работу.</w:t>
      </w:r>
    </w:p>
    <w:p>
      <w:pPr>
        <w:pStyle w:val="Heading1"/>
      </w:pPr>
      <w:r>
        <w:t>5. Результаты</w:t>
      </w:r>
    </w:p>
    <w:p>
      <w:r>
        <w:t>5.1. Выявленные дефекты. За период выявлено 13 дефектов на ранней стадии, наиболее значимые приведены в таблице 5.1. Три из них (НА-2 в январе, НА-3 в марте, НА-4 в апреле) при отсутствии системы с высокой вероятностью привели бы к аварийному останову.</w:t>
      </w:r>
    </w:p>
    <w:p>
      <w:r>
        <w:t>5.2. Динамика по месяцам. Показатели приведены в таблице 5.2. Число ложных срабатываний снижалось по мере настройки фильтров и закрепления датчиков: с 9 в январе до 2 в июне.</w:t>
      </w:r>
    </w:p>
    <w:p>
      <w:r>
        <w:t>5.3. Сравнение с 2025 годом. Количество внеплановых остановов снизилось с 16 до 10 (38 %), суммарная длительность внеплановых простоев — с 93 до 61 часов (34 %). Следует учитывать, что часть снижения может быть связана с заменой подшипников НА-1 и НА-2 в декабре 2025 года, выполненной до начала опытной эксплуатации.</w:t>
      </w:r>
    </w:p>
    <w:p>
      <w:r>
        <w:rPr>
          <w:b/>
        </w:rPr>
        <w:t>Таблица 5.1. Наиболее значимые события периода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Дата</w:t>
            </w:r>
          </w:p>
        </w:tc>
        <w:tc>
          <w:tcPr>
            <w:tcW w:type="dxa" w:w="1728"/>
          </w:tcPr>
          <w:p>
            <w:r>
              <w:t>Агрегат</w:t>
            </w:r>
          </w:p>
        </w:tc>
        <w:tc>
          <w:tcPr>
            <w:tcW w:type="dxa" w:w="1728"/>
          </w:tcPr>
          <w:p>
            <w:r>
              <w:t>Признак</w:t>
            </w:r>
          </w:p>
        </w:tc>
        <w:tc>
          <w:tcPr>
            <w:tcW w:type="dxa" w:w="1728"/>
          </w:tcPr>
          <w:p>
            <w:r>
              <w:t>Причина</w:t>
            </w:r>
          </w:p>
        </w:tc>
        <w:tc>
          <w:tcPr>
            <w:tcW w:type="dxa" w:w="1728"/>
          </w:tcPr>
          <w:p>
            <w:r>
              <w:t>Действие</w:t>
            </w:r>
          </w:p>
        </w:tc>
      </w:tr>
      <w:tr>
        <w:tc>
          <w:tcPr>
            <w:tcW w:type="dxa" w:w="1728"/>
          </w:tcPr>
          <w:p>
            <w:r>
              <w:t>18.01</w:t>
            </w:r>
          </w:p>
        </w:tc>
        <w:tc>
          <w:tcPr>
            <w:tcW w:type="dxa" w:w="1728"/>
          </w:tcPr>
          <w:p>
            <w:r>
              <w:t>НА-2</w:t>
            </w:r>
          </w:p>
        </w:tc>
        <w:tc>
          <w:tcPr>
            <w:tcW w:type="dxa" w:w="1728"/>
          </w:tcPr>
          <w:p>
            <w:r>
              <w:t>Рост вибрации 4,1 → 6,3 мм/с за 9 дней</w:t>
            </w:r>
          </w:p>
        </w:tc>
        <w:tc>
          <w:tcPr>
            <w:tcW w:type="dxa" w:w="1728"/>
          </w:tcPr>
          <w:p>
            <w:r>
              <w:t>Дефект подшипника со стороны насоса</w:t>
            </w:r>
          </w:p>
        </w:tc>
        <w:tc>
          <w:tcPr>
            <w:tcW w:type="dxa" w:w="1728"/>
          </w:tcPr>
          <w:p>
            <w:r>
              <w:t>Плановая замена 02.02, авария предотвращена</w:t>
            </w:r>
          </w:p>
        </w:tc>
      </w:tr>
      <w:tr>
        <w:tc>
          <w:tcPr>
            <w:tcW w:type="dxa" w:w="1728"/>
          </w:tcPr>
          <w:p>
            <w:r>
              <w:t>27.01</w:t>
            </w:r>
          </w:p>
        </w:tc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Скачок температуры подшипника до 78 °C</w:t>
            </w:r>
          </w:p>
        </w:tc>
        <w:tc>
          <w:tcPr>
            <w:tcW w:type="dxa" w:w="1728"/>
          </w:tcPr>
          <w:p>
            <w:r>
              <w:t>Недостаток смазки</w:t>
            </w:r>
          </w:p>
        </w:tc>
        <w:tc>
          <w:tcPr>
            <w:tcW w:type="dxa" w:w="1728"/>
          </w:tcPr>
          <w:p>
            <w:r>
              <w:t>Досмазка, нормализация через 2 ч</w:t>
            </w:r>
          </w:p>
        </w:tc>
      </w:tr>
      <w:tr>
        <w:tc>
          <w:tcPr>
            <w:tcW w:type="dxa" w:w="1728"/>
          </w:tcPr>
          <w:p>
            <w:r>
              <w:t>11.02</w:t>
            </w:r>
          </w:p>
        </w:tc>
        <w:tc>
          <w:tcPr>
            <w:tcW w:type="dxa" w:w="1728"/>
          </w:tcPr>
          <w:p>
            <w:r>
              <w:t>НА-1</w:t>
            </w:r>
          </w:p>
        </w:tc>
        <w:tc>
          <w:tcPr>
            <w:tcW w:type="dxa" w:w="1728"/>
          </w:tcPr>
          <w:p>
            <w:r>
              <w:t>Ложное срабатывание порога вибрации</w:t>
            </w:r>
          </w:p>
        </w:tc>
        <w:tc>
          <w:tcPr>
            <w:tcW w:type="dxa" w:w="1728"/>
          </w:tcPr>
          <w:p>
            <w:r>
              <w:t>Помеха от сварочных работ рядом</w:t>
            </w:r>
          </w:p>
        </w:tc>
        <w:tc>
          <w:tcPr>
            <w:tcW w:type="dxa" w:w="1728"/>
          </w:tcPr>
          <w:p>
            <w:r>
              <w:t>Порог не менялся, добавлен фильтр событий</w:t>
            </w:r>
          </w:p>
        </w:tc>
      </w:tr>
      <w:tr>
        <w:tc>
          <w:tcPr>
            <w:tcW w:type="dxa" w:w="1728"/>
          </w:tcPr>
          <w:p>
            <w:r>
              <w:t>03.03</w:t>
            </w:r>
          </w:p>
        </w:tc>
        <w:tc>
          <w:tcPr>
            <w:tcW w:type="dxa" w:w="1728"/>
          </w:tcPr>
          <w:p>
            <w:r>
              <w:t>НА-3</w:t>
            </w:r>
          </w:p>
        </w:tc>
        <w:tc>
          <w:tcPr>
            <w:tcW w:type="dxa" w:w="1728"/>
          </w:tcPr>
          <w:p>
            <w:r>
              <w:t>Рост вибрации на частоте 2× оборотной</w:t>
            </w:r>
          </w:p>
        </w:tc>
        <w:tc>
          <w:tcPr>
            <w:tcW w:type="dxa" w:w="1728"/>
          </w:tcPr>
          <w:p>
            <w:r>
              <w:t>Расцентровка после ремонта муфты</w:t>
            </w:r>
          </w:p>
        </w:tc>
        <w:tc>
          <w:tcPr>
            <w:tcW w:type="dxa" w:w="1728"/>
          </w:tcPr>
          <w:p>
            <w:r>
              <w:t>Центровка 05.03</w:t>
            </w:r>
          </w:p>
        </w:tc>
      </w:tr>
      <w:tr>
        <w:tc>
          <w:tcPr>
            <w:tcW w:type="dxa" w:w="1728"/>
          </w:tcPr>
          <w:p>
            <w:r>
              <w:t>22.03</w:t>
            </w:r>
          </w:p>
        </w:tc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Серия ложных срабатываний (5 за сутки)</w:t>
            </w:r>
          </w:p>
        </w:tc>
        <w:tc>
          <w:tcPr>
            <w:tcW w:type="dxa" w:w="1728"/>
          </w:tcPr>
          <w:p>
            <w:r>
              <w:t>Ослабление крепления датчика</w:t>
            </w:r>
          </w:p>
        </w:tc>
        <w:tc>
          <w:tcPr>
            <w:tcW w:type="dxa" w:w="1728"/>
          </w:tcPr>
          <w:p>
            <w:r>
              <w:t>Крепление восстановлено</w:t>
            </w:r>
          </w:p>
        </w:tc>
      </w:tr>
      <w:tr>
        <w:tc>
          <w:tcPr>
            <w:tcW w:type="dxa" w:w="1728"/>
          </w:tcPr>
          <w:p>
            <w:r>
              <w:t>09.04</w:t>
            </w:r>
          </w:p>
        </w:tc>
        <w:tc>
          <w:tcPr>
            <w:tcW w:type="dxa" w:w="1728"/>
          </w:tcPr>
          <w:p>
            <w:r>
              <w:t>НА-5</w:t>
            </w:r>
          </w:p>
        </w:tc>
        <w:tc>
          <w:tcPr>
            <w:tcW w:type="dxa" w:w="1728"/>
          </w:tcPr>
          <w:p>
            <w:r>
              <w:t>Кратковременный рост тока двигателя</w:t>
            </w:r>
          </w:p>
        </w:tc>
        <w:tc>
          <w:tcPr>
            <w:tcW w:type="dxa" w:w="1728"/>
          </w:tcPr>
          <w:p>
            <w:r>
              <w:t>Засорение всасывающего фильтра</w:t>
            </w:r>
          </w:p>
        </w:tc>
        <w:tc>
          <w:tcPr>
            <w:tcW w:type="dxa" w:w="1728"/>
          </w:tcPr>
          <w:p>
            <w:r>
              <w:t>Очистка фильтра</w:t>
            </w:r>
          </w:p>
        </w:tc>
      </w:tr>
      <w:tr>
        <w:tc>
          <w:tcPr>
            <w:tcW w:type="dxa" w:w="1728"/>
          </w:tcPr>
          <w:p>
            <w:r>
              <w:t>14.04</w:t>
            </w:r>
          </w:p>
        </w:tc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Вибрация 7,9 мм/с при допустимых 4,5</w:t>
            </w:r>
          </w:p>
        </w:tc>
        <w:tc>
          <w:tcPr>
            <w:tcW w:type="dxa" w:w="1728"/>
          </w:tcPr>
          <w:p>
            <w:r>
              <w:t>Износ подшипника со стороны привода</w:t>
            </w:r>
          </w:p>
        </w:tc>
        <w:tc>
          <w:tcPr>
            <w:tcW w:type="dxa" w:w="1728"/>
          </w:tcPr>
          <w:p>
            <w:r>
              <w:t>Выведен в резерв, готовится ремонт</w:t>
            </w:r>
          </w:p>
        </w:tc>
      </w:tr>
      <w:tr>
        <w:tc>
          <w:tcPr>
            <w:tcW w:type="dxa" w:w="1728"/>
          </w:tcPr>
          <w:p>
            <w:r>
              <w:t>06.05</w:t>
            </w:r>
          </w:p>
        </w:tc>
        <w:tc>
          <w:tcPr>
            <w:tcW w:type="dxa" w:w="1728"/>
          </w:tcPr>
          <w:p>
            <w:r>
              <w:t>НА-2</w:t>
            </w:r>
          </w:p>
        </w:tc>
        <w:tc>
          <w:tcPr>
            <w:tcW w:type="dxa" w:w="1728"/>
          </w:tcPr>
          <w:p>
            <w:r>
              <w:t>Повышение температуры на 6 °C относительно тренда</w:t>
            </w:r>
          </w:p>
        </w:tc>
        <w:tc>
          <w:tcPr>
            <w:tcW w:type="dxa" w:w="1728"/>
          </w:tcPr>
          <w:p>
            <w:r>
              <w:t>Ухудшение охлаждения (пыль на рёбрах)</w:t>
            </w:r>
          </w:p>
        </w:tc>
        <w:tc>
          <w:tcPr>
            <w:tcW w:type="dxa" w:w="1728"/>
          </w:tcPr>
          <w:p>
            <w:r>
              <w:t>Очистка двигателя</w:t>
            </w:r>
          </w:p>
        </w:tc>
      </w:tr>
      <w:tr>
        <w:tc>
          <w:tcPr>
            <w:tcW w:type="dxa" w:w="1728"/>
          </w:tcPr>
          <w:p>
            <w:r>
              <w:t>17.06</w:t>
            </w:r>
          </w:p>
        </w:tc>
        <w:tc>
          <w:tcPr>
            <w:tcW w:type="dxa" w:w="1728"/>
          </w:tcPr>
          <w:p>
            <w:r>
              <w:t>НА-6</w:t>
            </w:r>
          </w:p>
        </w:tc>
        <w:tc>
          <w:tcPr>
            <w:tcW w:type="dxa" w:w="1728"/>
          </w:tcPr>
          <w:p>
            <w:r>
              <w:t>Потеря связи с датчиками на 14 ч</w:t>
            </w:r>
          </w:p>
        </w:tc>
        <w:tc>
          <w:tcPr>
            <w:tcW w:type="dxa" w:w="1728"/>
          </w:tcPr>
          <w:p>
            <w:r>
              <w:t>Отказ блока питания шлюза</w:t>
            </w:r>
          </w:p>
        </w:tc>
        <w:tc>
          <w:tcPr>
            <w:tcW w:type="dxa" w:w="1728"/>
          </w:tcPr>
          <w:p>
            <w:r>
              <w:t>Замена блока питания, добавлен резервный</w:t>
            </w:r>
          </w:p>
        </w:tc>
      </w:tr>
    </w:tbl>
    <w:p/>
    <w:p>
      <w:r>
        <w:rPr>
          <w:b/>
        </w:rPr>
        <w:t>Таблица 5.2. Показатели по месяцам 2026 года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Месяц</w:t>
            </w:r>
          </w:p>
        </w:tc>
        <w:tc>
          <w:tcPr>
            <w:tcW w:type="dxa" w:w="1728"/>
          </w:tcPr>
          <w:p>
            <w:r>
              <w:t>Внеплановые остановы</w:t>
            </w:r>
          </w:p>
        </w:tc>
        <w:tc>
          <w:tcPr>
            <w:tcW w:type="dxa" w:w="1728"/>
          </w:tcPr>
          <w:p>
            <w:r>
              <w:t>Внеплановые простои, ч</w:t>
            </w:r>
          </w:p>
        </w:tc>
        <w:tc>
          <w:tcPr>
            <w:tcW w:type="dxa" w:w="1728"/>
          </w:tcPr>
          <w:p>
            <w:r>
              <w:t>Ложные срабатывания</w:t>
            </w:r>
          </w:p>
        </w:tc>
        <w:tc>
          <w:tcPr>
            <w:tcW w:type="dxa" w:w="1728"/>
          </w:tcPr>
          <w:p>
            <w:r>
              <w:t>Дефекты на ранней стадии</w:t>
            </w:r>
          </w:p>
        </w:tc>
      </w:tr>
      <w:tr>
        <w:tc>
          <w:tcPr>
            <w:tcW w:type="dxa" w:w="1728"/>
          </w:tcPr>
          <w:p>
            <w:r>
              <w:t>Январь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Февраль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Март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Апрель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Май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Июнь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Итого за полугодие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61</w:t>
            </w:r>
          </w:p>
        </w:tc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Январь–июнь 2025 (для сравнения)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</w:tbl>
    <w:p>
      <w:pPr>
        <w:pStyle w:val="Heading1"/>
      </w:pPr>
      <w:r>
        <w:t>6. Проблемы, выявленные в ходе опытной эксплуатации</w:t>
      </w:r>
    </w:p>
    <w:p>
      <w:r>
        <w:t>6.1. Ложные срабатывания. В январе–феврале 16 из 22 событий оказались ложными. Основные причины: помехи от сварочных работ, ослабление крепления датчиков на НА-4, единичные потери связи. После введения фильтра событий и повторного крепления датчиков доля ложных срабатываний снизилась до 30–40 %.</w:t>
      </w:r>
    </w:p>
    <w:p>
      <w:r>
        <w:t>6.2. Отсутствие регламента реагирования. В первые недели персонал не имел утверждённого порядка действий при сигнале системы: кто проверяет, в какой срок, кто принимает решение об останове. Временный порядок введён распоряжением начальника участка в феврале, но не согласован со службой главного механика.</w:t>
      </w:r>
    </w:p>
    <w:p>
      <w:r>
        <w:t>6.3. Подготовка персонала. Из 12 сотрудников сменного персонала обучение по работе с системой прошли 7. Остальные передавали сигналы старшему смены без первичной проверки, что увеличивало время реакции.</w:t>
      </w:r>
    </w:p>
    <w:p>
      <w:r>
        <w:t>6.4. Ограничения датчика температуры. Датчик установлен только на подшипнике двигателя; температура подшипника насоса не контролировалась. Событие 27.01 на НА-4 выявлено с задержкой.</w:t>
      </w:r>
    </w:p>
    <w:p>
      <w:r>
        <w:t>6.5. Надёжность связи. Отказ блока питания шлюза 17 июня привёл к потере данных по НА-6 на 14 часов. Резервирование питания на момент начала эксплуатации не предусматривалось.</w:t>
      </w:r>
    </w:p>
    <w:p>
      <w:pPr>
        <w:pStyle w:val="Heading1"/>
      </w:pPr>
      <w:r>
        <w:t>7. Экономическая оценка (упрощённая)</w:t>
      </w:r>
    </w:p>
    <w:p>
      <w:r>
        <w:t>Затраты на опытную эксплуатацию: оборудование и датчики — 1 320 тыс. руб., монтаж и наладка — 280 тыс. руб., лицензия программного обеспечения — 250 тыс. руб. в год. Итого единовременно 1 600 тыс. руб. и 250 тыс. руб. ежегодно.</w:t>
      </w:r>
    </w:p>
    <w:p>
      <w:r>
        <w:t>Оценка эффекта. Стоимость часа внепланового простоя станции принята по оценке планового отдела — 42 тыс. руб. (включает потери производства участков-потребителей). Сокращение простоев на 32 часов даёт условную экономию 1344 тыс. руб. за полугодие. Предотвращённый аварийный ремонт НА-2 оценён в 620 тыс. руб. по стоимости аналогичного ремонта 2024 года.</w:t>
      </w:r>
    </w:p>
    <w:p>
      <w:r>
        <w:t>Суммарный условный эффект за полугодие — около 1964 тыс. руб. При сохранении динамики расчётный срок окупаемости не превышает одного года. Оценка чувствительна к принятой стоимости часа простоя: при 20 тыс. руб. за час срок окупаемости увеличивается примерно до полутора лет.</w:t>
      </w:r>
    </w:p>
    <w:p>
      <w:r>
        <w:t>Не учтены: затраты рабочего времени персонала на проверку событий (по оценке — около 40 часов в месяц в первые два месяца), возможный эффект от продления ресурса оборудования, стоимость обучения.</w:t>
      </w:r>
    </w:p>
    <w:p>
      <w:pPr>
        <w:pStyle w:val="Heading1"/>
      </w:pPr>
      <w:r>
        <w:t>8. Выводы</w:t>
      </w:r>
    </w:p>
    <w:p>
      <w:r>
        <w:t>1. Система вибромониторинга работоспособна и позволяет выявлять дефекты подшипников, расцентровку и нарушения охлаждения до перехода в аварийную стадию.</w:t>
      </w:r>
    </w:p>
    <w:p>
      <w:r>
        <w:t>2. Снижение внеплановых остановов и простоев по сравнению с 2025 годом подтверждено данными журналов, однако часть эффекта может объясняться плановыми ремонтами декабря 2025 года.</w:t>
      </w:r>
    </w:p>
    <w:p>
      <w:r>
        <w:t>3. Главный ограничивающий фактор — не техника, а организация: регламент реагирования, обучение персонала и распределение ответственности.</w:t>
      </w:r>
    </w:p>
    <w:p>
      <w:r>
        <w:t>4. Экономическая оценка положительна при принятых допущениях, но требует уточнения стоимости часа простоя финансовой службой.</w:t>
      </w:r>
    </w:p>
    <w:p>
      <w:pPr>
        <w:pStyle w:val="Heading1"/>
      </w:pPr>
      <w:r>
        <w:t>9. Рекомендации и вопросы, требующие решения руководства</w:t>
      </w:r>
    </w:p>
    <w:p>
      <w:r>
        <w:t>1. Утвердить регламент реагирования на сигналы системы с распределением ответственности между участком и службой главного механика.</w:t>
      </w:r>
    </w:p>
    <w:p>
      <w:r>
        <w:t>2. Завершить обучение сменного персонала (5 сотрудников) до перевода в промышленную эксплуатацию.</w:t>
      </w:r>
    </w:p>
    <w:p>
      <w:r>
        <w:t>3. Дооснастить агрегаты датчиками температуры подшипника насоса (ориентировочно 180 тыс. руб.).</w:t>
      </w:r>
    </w:p>
    <w:p>
      <w:r>
        <w:t>4. Предусмотреть резервирование питания шлюза и линии связи.</w:t>
      </w:r>
    </w:p>
    <w:p>
      <w:r>
        <w:t>Вопросы, требующие решения руководства: а) источник финансирования лицензии на 2027 год; б) целесообразность тиражирования системы на насосные станции № 1 и № 2; в) порядок учёта сигналов системы при планировании ремонтов; г) ответственный за систему после завершения опытной эксплуатации.</w:t>
      </w:r>
    </w:p>
    <w:p>
      <w:r>
        <w:br w:type="page"/>
      </w:r>
    </w:p>
    <w:p>
      <w:pPr>
        <w:pStyle w:val="Heading1"/>
      </w:pPr>
      <w:r>
        <w:t>Приложение А. Журнал событий системы (выдержка)</w:t>
      </w:r>
    </w:p>
    <w:p>
      <w:r>
        <w:t>Полный журнал содержит 214 записей; ниже приведены все события, по которым выполнялась проверка персоналом.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Дата</w:t>
            </w:r>
          </w:p>
        </w:tc>
        <w:tc>
          <w:tcPr>
            <w:tcW w:type="dxa" w:w="1440"/>
          </w:tcPr>
          <w:p>
            <w:r>
              <w:t>Агрегат</w:t>
            </w:r>
          </w:p>
        </w:tc>
        <w:tc>
          <w:tcPr>
            <w:tcW w:type="dxa" w:w="1440"/>
          </w:tcPr>
          <w:p>
            <w:r>
              <w:t>Тип события</w:t>
            </w:r>
          </w:p>
        </w:tc>
        <w:tc>
          <w:tcPr>
            <w:tcW w:type="dxa" w:w="1440"/>
          </w:tcPr>
          <w:p>
            <w:r>
              <w:t>Значение</w:t>
            </w:r>
          </w:p>
        </w:tc>
        <w:tc>
          <w:tcPr>
            <w:tcW w:type="dxa" w:w="1440"/>
          </w:tcPr>
          <w:p>
            <w:r>
              <w:t>Результат проверки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03.01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6.6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09.01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8.1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14.01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7.4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16.01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15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18.01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8.0 мм/с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23.01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48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29.01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6.2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05.02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39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08.02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 мин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12.02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7.2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18.02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5.5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23.02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56 мин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28.02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5.9 мм/с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30.02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6.2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05.03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8.2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10.03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8.0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14.03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8.0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20.03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8.1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25.03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37 мин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27.03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8.1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01.04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65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07.04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7.8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11.04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8.3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16.04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60 мин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21.04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8.3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26.04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5.0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29.04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4.7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05.05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6.0 мм/с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08.05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6.3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12.05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5.3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18.05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77.6 °C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24.05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13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27.05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67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34</w:t>
            </w:r>
          </w:p>
        </w:tc>
        <w:tc>
          <w:tcPr>
            <w:tcW w:type="dxa" w:w="1440"/>
          </w:tcPr>
          <w:p>
            <w:r>
              <w:t>02.06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75.3 °C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07.06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6.5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>
              <w:t>09.06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7.5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37</w:t>
            </w:r>
          </w:p>
        </w:tc>
        <w:tc>
          <w:tcPr>
            <w:tcW w:type="dxa" w:w="1440"/>
          </w:tcPr>
          <w:p>
            <w:r>
              <w:t>14.06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5.7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20.06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72.2 °C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39</w:t>
            </w:r>
          </w:p>
        </w:tc>
        <w:tc>
          <w:tcPr>
            <w:tcW w:type="dxa" w:w="1440"/>
          </w:tcPr>
          <w:p>
            <w:r>
              <w:t>23.06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61 мин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26.06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5.8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41</w:t>
            </w:r>
          </w:p>
        </w:tc>
        <w:tc>
          <w:tcPr>
            <w:tcW w:type="dxa" w:w="1440"/>
          </w:tcPr>
          <w:p>
            <w:r>
              <w:t>29.06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70.6 °C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42</w:t>
            </w:r>
          </w:p>
        </w:tc>
        <w:tc>
          <w:tcPr>
            <w:tcW w:type="dxa" w:w="1440"/>
          </w:tcPr>
          <w:p>
            <w:r>
              <w:t>01.06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76.8 °C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43</w:t>
            </w:r>
          </w:p>
        </w:tc>
        <w:tc>
          <w:tcPr>
            <w:tcW w:type="dxa" w:w="1440"/>
          </w:tcPr>
          <w:p>
            <w:r>
              <w:t>04.06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81.0 °C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44</w:t>
            </w:r>
          </w:p>
        </w:tc>
        <w:tc>
          <w:tcPr>
            <w:tcW w:type="dxa" w:w="1440"/>
          </w:tcPr>
          <w:p>
            <w:r>
              <w:t>07.06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75.5 °C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</w:tbl>
    <w:p>
      <w:r>
        <w:br w:type="page"/>
      </w:r>
    </w:p>
    <w:p>
      <w:pPr>
        <w:pStyle w:val="Heading1"/>
      </w:pPr>
      <w:r>
        <w:t>Приложение Б. Параметры настройки системы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Параметр</w:t>
            </w:r>
          </w:p>
        </w:tc>
        <w:tc>
          <w:tcPr>
            <w:tcW w:type="dxa" w:w="4320"/>
          </w:tcPr>
          <w:p>
            <w:r>
              <w:t>Значение</w:t>
            </w:r>
          </w:p>
        </w:tc>
      </w:tr>
      <w:tr>
        <w:tc>
          <w:tcPr>
            <w:tcW w:type="dxa" w:w="4320"/>
          </w:tcPr>
          <w:p>
            <w:r>
              <w:t>Периодичность опроса датчиков</w:t>
            </w:r>
          </w:p>
        </w:tc>
        <w:tc>
          <w:tcPr>
            <w:tcW w:type="dxa" w:w="4320"/>
          </w:tcPr>
          <w:p>
            <w:r>
              <w:t>10 с</w:t>
            </w:r>
          </w:p>
        </w:tc>
      </w:tr>
      <w:tr>
        <w:tc>
          <w:tcPr>
            <w:tcW w:type="dxa" w:w="4320"/>
          </w:tcPr>
          <w:p>
            <w:r>
              <w:t>Длительность превышения для регистрации события</w:t>
            </w:r>
          </w:p>
        </w:tc>
        <w:tc>
          <w:tcPr>
            <w:tcW w:type="dxa" w:w="4320"/>
          </w:tcPr>
          <w:p>
            <w:r>
              <w:t>60 с</w:t>
            </w:r>
          </w:p>
        </w:tc>
      </w:tr>
      <w:tr>
        <w:tc>
          <w:tcPr>
            <w:tcW w:type="dxa" w:w="4320"/>
          </w:tcPr>
          <w:p>
            <w:r>
              <w:t>Порог предупреждения по виброскорости, НК-90 / НК-90М</w:t>
            </w:r>
          </w:p>
        </w:tc>
        <w:tc>
          <w:tcPr>
            <w:tcW w:type="dxa" w:w="4320"/>
          </w:tcPr>
          <w:p>
            <w:r>
              <w:t>4,5 мм/с</w:t>
            </w:r>
          </w:p>
        </w:tc>
      </w:tr>
      <w:tr>
        <w:tc>
          <w:tcPr>
            <w:tcW w:type="dxa" w:w="4320"/>
          </w:tcPr>
          <w:p>
            <w:r>
              <w:t>Аварийный порог по виброскорости, НК-90 / НК-90М</w:t>
            </w:r>
          </w:p>
        </w:tc>
        <w:tc>
          <w:tcPr>
            <w:tcW w:type="dxa" w:w="4320"/>
          </w:tcPr>
          <w:p>
            <w:r>
              <w:t>7,1 мм/с</w:t>
            </w:r>
          </w:p>
        </w:tc>
      </w:tr>
      <w:tr>
        <w:tc>
          <w:tcPr>
            <w:tcW w:type="dxa" w:w="4320"/>
          </w:tcPr>
          <w:p>
            <w:r>
              <w:t>Порог предупреждения по виброскорости, ЦН-110Э</w:t>
            </w:r>
          </w:p>
        </w:tc>
        <w:tc>
          <w:tcPr>
            <w:tcW w:type="dxa" w:w="4320"/>
          </w:tcPr>
          <w:p>
            <w:r>
              <w:t>3,8 мм/с</w:t>
            </w:r>
          </w:p>
        </w:tc>
      </w:tr>
      <w:tr>
        <w:tc>
          <w:tcPr>
            <w:tcW w:type="dxa" w:w="4320"/>
          </w:tcPr>
          <w:p>
            <w:r>
              <w:t>Аварийный порог по виброскорости, ЦН-110Э</w:t>
            </w:r>
          </w:p>
        </w:tc>
        <w:tc>
          <w:tcPr>
            <w:tcW w:type="dxa" w:w="4320"/>
          </w:tcPr>
          <w:p>
            <w:r>
              <w:t>6,3 мм/с</w:t>
            </w:r>
          </w:p>
        </w:tc>
      </w:tr>
      <w:tr>
        <w:tc>
          <w:tcPr>
            <w:tcW w:type="dxa" w:w="4320"/>
          </w:tcPr>
          <w:p>
            <w:r>
              <w:t>Порог предупреждения по температуре подшипника</w:t>
            </w:r>
          </w:p>
        </w:tc>
        <w:tc>
          <w:tcPr>
            <w:tcW w:type="dxa" w:w="4320"/>
          </w:tcPr>
          <w:p>
            <w:r>
              <w:t>70 °C</w:t>
            </w:r>
          </w:p>
        </w:tc>
      </w:tr>
      <w:tr>
        <w:tc>
          <w:tcPr>
            <w:tcW w:type="dxa" w:w="4320"/>
          </w:tcPr>
          <w:p>
            <w:r>
              <w:t>Аварийный порог по температуре подшипника</w:t>
            </w:r>
          </w:p>
        </w:tc>
        <w:tc>
          <w:tcPr>
            <w:tcW w:type="dxa" w:w="4320"/>
          </w:tcPr>
          <w:p>
            <w:r>
              <w:t>85 °C</w:t>
            </w:r>
          </w:p>
        </w:tc>
      </w:tr>
      <w:tr>
        <w:tc>
          <w:tcPr>
            <w:tcW w:type="dxa" w:w="4320"/>
          </w:tcPr>
          <w:p>
            <w:r>
              <w:t>Срок хранения данных</w:t>
            </w:r>
          </w:p>
        </w:tc>
        <w:tc>
          <w:tcPr>
            <w:tcW w:type="dxa" w:w="4320"/>
          </w:tcPr>
          <w:p>
            <w:r>
              <w:t>12 месяцев</w:t>
            </w:r>
          </w:p>
        </w:tc>
      </w:tr>
      <w:tr>
        <w:tc>
          <w:tcPr>
            <w:tcW w:type="dxa" w:w="4320"/>
          </w:tcPr>
          <w:p>
            <w:r>
              <w:t>Фильтр событий (введён 15.02)</w:t>
            </w:r>
          </w:p>
        </w:tc>
        <w:tc>
          <w:tcPr>
            <w:tcW w:type="dxa" w:w="4320"/>
          </w:tcPr>
          <w:p>
            <w:r>
              <w:t>исключение окон сварочных работ по графику</w:t>
            </w:r>
          </w:p>
        </w:tc>
      </w:tr>
    </w:tbl>
    <w:p/>
    <w:p>
      <w:r>
        <w:t>Конец отчёта. Все числа, названия и события условные.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